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E2" w:rsidRDefault="00EE44E2" w:rsidP="00A54E8D">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C 3</w:t>
      </w:r>
    </w:p>
    <w:p w:rsidR="00A54E8D" w:rsidRDefault="00EE120C" w:rsidP="00A54E8D">
      <w:pPr>
        <w:spacing w:after="0" w:line="240" w:lineRule="auto"/>
        <w:jc w:val="both"/>
        <w:rPr>
          <w:rFonts w:ascii="Times New Roman" w:eastAsia="Times New Roman" w:hAnsi="Times New Roman" w:cs="Times New Roman"/>
          <w:b/>
          <w:bCs/>
        </w:rPr>
      </w:pPr>
      <w:r w:rsidRPr="00A54E8D">
        <w:rPr>
          <w:rFonts w:ascii="Times New Roman" w:eastAsia="Times New Roman" w:hAnsi="Times New Roman" w:cs="Times New Roman"/>
          <w:b/>
          <w:bCs/>
        </w:rPr>
        <w:t xml:space="preserve">HIPERCALCEMIA ASOCIADA A MIOSITIS GRANULOMATOSA SARCOIDEA SÍMIL, UN CUADRO INFRECUENTE A CONSIDERAR </w:t>
      </w:r>
    </w:p>
    <w:p w:rsidR="00A54E8D" w:rsidRDefault="00EE120C" w:rsidP="00A54E8D">
      <w:pPr>
        <w:spacing w:after="0" w:line="240" w:lineRule="auto"/>
        <w:jc w:val="both"/>
        <w:rPr>
          <w:rFonts w:ascii="Times New Roman" w:eastAsia="Times New Roman" w:hAnsi="Times New Roman" w:cs="Times New Roman"/>
        </w:rPr>
      </w:pPr>
      <w:r w:rsidRPr="00A54E8D">
        <w:rPr>
          <w:rFonts w:ascii="Times New Roman" w:eastAsia="Times New Roman" w:hAnsi="Times New Roman" w:cs="Times New Roman"/>
        </w:rPr>
        <w:t>Thomas Uslar Nawrath</w:t>
      </w:r>
      <w:r w:rsidRPr="00A54E8D">
        <w:rPr>
          <w:rFonts w:ascii="Times New Roman" w:eastAsia="Times New Roman" w:hAnsi="Times New Roman" w:cs="Times New Roman"/>
          <w:vertAlign w:val="superscript"/>
        </w:rPr>
        <w:t>1</w:t>
      </w:r>
      <w:r w:rsidRPr="00A54E8D">
        <w:rPr>
          <w:rFonts w:ascii="Times New Roman" w:eastAsia="Times New Roman" w:hAnsi="Times New Roman" w:cs="Times New Roman"/>
        </w:rPr>
        <w:t>, Gilberto González Vicente</w:t>
      </w:r>
      <w:r w:rsidRPr="00A54E8D">
        <w:rPr>
          <w:rFonts w:ascii="Times New Roman" w:eastAsia="Times New Roman" w:hAnsi="Times New Roman" w:cs="Times New Roman"/>
          <w:vertAlign w:val="superscript"/>
        </w:rPr>
        <w:t>2</w:t>
      </w:r>
      <w:r w:rsidRPr="00A54E8D">
        <w:rPr>
          <w:rFonts w:ascii="Times New Roman" w:eastAsia="Times New Roman" w:hAnsi="Times New Roman" w:cs="Times New Roman"/>
        </w:rPr>
        <w:t>, Roberto Olmos Borzone</w:t>
      </w:r>
      <w:r w:rsidRPr="00A54E8D">
        <w:rPr>
          <w:rFonts w:ascii="Times New Roman" w:eastAsia="Times New Roman" w:hAnsi="Times New Roman" w:cs="Times New Roman"/>
          <w:vertAlign w:val="superscript"/>
        </w:rPr>
        <w:t>2</w:t>
      </w:r>
      <w:r w:rsidRPr="00A54E8D">
        <w:rPr>
          <w:rFonts w:ascii="Times New Roman" w:eastAsia="Times New Roman" w:hAnsi="Times New Roman" w:cs="Times New Roman"/>
        </w:rPr>
        <w:t>, Jaime Godoy Santin</w:t>
      </w:r>
      <w:r w:rsidRPr="00A54E8D">
        <w:rPr>
          <w:rFonts w:ascii="Times New Roman" w:eastAsia="Times New Roman" w:hAnsi="Times New Roman" w:cs="Times New Roman"/>
          <w:vertAlign w:val="superscript"/>
        </w:rPr>
        <w:t>3</w:t>
      </w:r>
      <w:r w:rsidRPr="00A54E8D">
        <w:rPr>
          <w:rFonts w:ascii="Times New Roman" w:eastAsia="Times New Roman" w:hAnsi="Times New Roman" w:cs="Times New Roman"/>
        </w:rPr>
        <w:t>, Patricio Mellado Talesnik</w:t>
      </w:r>
      <w:r w:rsidRPr="00A54E8D">
        <w:rPr>
          <w:rFonts w:ascii="Times New Roman" w:eastAsia="Times New Roman" w:hAnsi="Times New Roman" w:cs="Times New Roman"/>
          <w:vertAlign w:val="superscript"/>
        </w:rPr>
        <w:t>3</w:t>
      </w:r>
      <w:r w:rsidRPr="00A54E8D">
        <w:rPr>
          <w:rFonts w:ascii="Times New Roman" w:eastAsia="Times New Roman" w:hAnsi="Times New Roman" w:cs="Times New Roman"/>
        </w:rPr>
        <w:br/>
      </w:r>
      <w:r w:rsidRPr="00A54E8D">
        <w:rPr>
          <w:rFonts w:ascii="Times New Roman" w:eastAsia="Times New Roman" w:hAnsi="Times New Roman" w:cs="Times New Roman"/>
          <w:vertAlign w:val="superscript"/>
        </w:rPr>
        <w:t>1</w:t>
      </w:r>
      <w:r w:rsidRPr="00A54E8D">
        <w:rPr>
          <w:rFonts w:ascii="Times New Roman" w:eastAsia="Times New Roman" w:hAnsi="Times New Roman" w:cs="Times New Roman"/>
        </w:rPr>
        <w:t xml:space="preserve">Departamento de Medicina Interna, Hospital Clínico Pontificia Universidad Católica de Chile, </w:t>
      </w:r>
      <w:r w:rsidRPr="00A54E8D">
        <w:rPr>
          <w:rFonts w:ascii="Times New Roman" w:eastAsia="Times New Roman" w:hAnsi="Times New Roman" w:cs="Times New Roman"/>
          <w:vertAlign w:val="superscript"/>
        </w:rPr>
        <w:t>2</w:t>
      </w:r>
      <w:r w:rsidRPr="00A54E8D">
        <w:rPr>
          <w:rFonts w:ascii="Times New Roman" w:eastAsia="Times New Roman" w:hAnsi="Times New Roman" w:cs="Times New Roman"/>
        </w:rPr>
        <w:t xml:space="preserve">Departamento de Endocrinología, Hospital Clínico Pontificia Universidad Católica de Chile, </w:t>
      </w:r>
      <w:r w:rsidRPr="00A54E8D">
        <w:rPr>
          <w:rFonts w:ascii="Times New Roman" w:eastAsia="Times New Roman" w:hAnsi="Times New Roman" w:cs="Times New Roman"/>
          <w:vertAlign w:val="superscript"/>
        </w:rPr>
        <w:t>3</w:t>
      </w:r>
      <w:r w:rsidRPr="00A54E8D">
        <w:rPr>
          <w:rFonts w:ascii="Times New Roman" w:eastAsia="Times New Roman" w:hAnsi="Times New Roman" w:cs="Times New Roman"/>
        </w:rPr>
        <w:t>Departamento de Neurología, Hospital Clínico Pontificia Universidad Católica de Chile</w:t>
      </w:r>
    </w:p>
    <w:p w:rsidR="00BB1433" w:rsidRPr="00A54E8D" w:rsidRDefault="00EE120C" w:rsidP="00A54E8D">
      <w:pPr>
        <w:spacing w:after="0" w:line="240" w:lineRule="auto"/>
        <w:jc w:val="both"/>
        <w:rPr>
          <w:rFonts w:ascii="Times New Roman" w:eastAsia="Times New Roman" w:hAnsi="Times New Roman" w:cs="Times New Roman"/>
        </w:rPr>
      </w:pPr>
      <w:r w:rsidRPr="00A54E8D">
        <w:rPr>
          <w:rFonts w:ascii="Times New Roman" w:eastAsia="Times New Roman" w:hAnsi="Times New Roman" w:cs="Times New Roman"/>
          <w:b/>
          <w:bCs/>
        </w:rPr>
        <w:t xml:space="preserve">Contenido: </w:t>
      </w:r>
    </w:p>
    <w:p w:rsidR="00BB1433" w:rsidRPr="00A54E8D" w:rsidRDefault="00EE120C" w:rsidP="00A54E8D">
      <w:pPr>
        <w:pStyle w:val="NormalWeb"/>
        <w:spacing w:before="0" w:beforeAutospacing="0" w:after="0" w:afterAutospacing="0"/>
        <w:jc w:val="both"/>
        <w:rPr>
          <w:sz w:val="22"/>
          <w:szCs w:val="22"/>
        </w:rPr>
      </w:pPr>
      <w:r w:rsidRPr="00A54E8D">
        <w:rPr>
          <w:sz w:val="22"/>
          <w:szCs w:val="22"/>
        </w:rPr>
        <w:t xml:space="preserve">La hipercalcemia asociada a enfermedades granulomatosas está bien descrita y su mecanismo subyace en la expresión </w:t>
      </w:r>
      <w:proofErr w:type="spellStart"/>
      <w:r w:rsidRPr="00A54E8D">
        <w:rPr>
          <w:sz w:val="22"/>
          <w:szCs w:val="22"/>
        </w:rPr>
        <w:t>extrarrenal</w:t>
      </w:r>
      <w:proofErr w:type="spellEnd"/>
      <w:r w:rsidRPr="00A54E8D">
        <w:rPr>
          <w:sz w:val="22"/>
          <w:szCs w:val="22"/>
        </w:rPr>
        <w:t xml:space="preserve"> de 1-alfa-hidroxilasa en macrófagos activados con producción no regulada de 1,25OHD independiente de PTH. La sarcoidosis es una de las enfermedades más representativas para este mecanismo de hipercalcemia, pero existen múltiples otras. Presentamos un caso de hipercalcemia asociada a enfermedad granulomatosa para ilustrar una entidad recientemente descrita.</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 xml:space="preserve">Caso clínico: </w:t>
      </w:r>
      <w:r w:rsidRPr="00A54E8D">
        <w:rPr>
          <w:sz w:val="22"/>
          <w:szCs w:val="22"/>
        </w:rPr>
        <w:t xml:space="preserve">Paciente de 87 años consultó por 3 meses de </w:t>
      </w:r>
      <w:proofErr w:type="spellStart"/>
      <w:r w:rsidRPr="00A54E8D">
        <w:rPr>
          <w:sz w:val="22"/>
          <w:szCs w:val="22"/>
        </w:rPr>
        <w:t>tetraparesia</w:t>
      </w:r>
      <w:proofErr w:type="spellEnd"/>
      <w:r w:rsidRPr="00A54E8D">
        <w:rPr>
          <w:sz w:val="22"/>
          <w:szCs w:val="22"/>
        </w:rPr>
        <w:t xml:space="preserve"> de predominio proximal asociado a baja de 10k y astenia luego de viaje al Caribe. Al examen físico: </w:t>
      </w:r>
      <w:proofErr w:type="spellStart"/>
      <w:r w:rsidRPr="00A54E8D">
        <w:rPr>
          <w:sz w:val="22"/>
          <w:szCs w:val="22"/>
        </w:rPr>
        <w:t>tetraparesia</w:t>
      </w:r>
      <w:proofErr w:type="spellEnd"/>
      <w:r w:rsidRPr="00A54E8D">
        <w:rPr>
          <w:sz w:val="22"/>
          <w:szCs w:val="22"/>
        </w:rPr>
        <w:t xml:space="preserve"> proximal simétrica con reflejos conservados, sin otros hallazgos. Al laboratorio destacó calcemia de 13,4 mg/dL, PTH 12 pg/mL y CK normal (ver Tabla 1). PET/CT-FDG evidenció aumento de metabolismo glucídico intenso y difuso en musculatura proximal, sin </w:t>
      </w:r>
      <w:proofErr w:type="spellStart"/>
      <w:r w:rsidRPr="00A54E8D">
        <w:rPr>
          <w:sz w:val="22"/>
          <w:szCs w:val="22"/>
        </w:rPr>
        <w:t>linfadenopatíasmediastínicas</w:t>
      </w:r>
      <w:proofErr w:type="spellEnd"/>
      <w:r w:rsidRPr="00A54E8D">
        <w:rPr>
          <w:sz w:val="22"/>
          <w:szCs w:val="22"/>
        </w:rPr>
        <w:t xml:space="preserve"> u otros hallazgos. Se realizó biopsia </w:t>
      </w:r>
      <w:proofErr w:type="spellStart"/>
      <w:r w:rsidRPr="00A54E8D">
        <w:rPr>
          <w:sz w:val="22"/>
          <w:szCs w:val="22"/>
        </w:rPr>
        <w:t>deltoidea</w:t>
      </w:r>
      <w:proofErr w:type="spellEnd"/>
      <w:r w:rsidRPr="00A54E8D">
        <w:rPr>
          <w:sz w:val="22"/>
          <w:szCs w:val="22"/>
        </w:rPr>
        <w:t xml:space="preserve"> que describió </w:t>
      </w:r>
      <w:proofErr w:type="spellStart"/>
      <w:r w:rsidRPr="00A54E8D">
        <w:rPr>
          <w:sz w:val="22"/>
          <w:szCs w:val="22"/>
        </w:rPr>
        <w:t>granulomasepiteloideos</w:t>
      </w:r>
      <w:proofErr w:type="spellEnd"/>
      <w:r w:rsidRPr="00A54E8D">
        <w:rPr>
          <w:sz w:val="22"/>
          <w:szCs w:val="22"/>
        </w:rPr>
        <w:t xml:space="preserve"> no </w:t>
      </w:r>
      <w:proofErr w:type="spellStart"/>
      <w:r w:rsidRPr="00A54E8D">
        <w:rPr>
          <w:sz w:val="22"/>
          <w:szCs w:val="22"/>
        </w:rPr>
        <w:t>caseificantes</w:t>
      </w:r>
      <w:proofErr w:type="spellEnd"/>
      <w:r w:rsidRPr="00A54E8D">
        <w:rPr>
          <w:sz w:val="22"/>
          <w:szCs w:val="22"/>
        </w:rPr>
        <w:t xml:space="preserve"> ni necrotizantes, compatible con enfermedad granulomatosa muscular. </w:t>
      </w:r>
      <w:proofErr w:type="spellStart"/>
      <w:r w:rsidRPr="00A54E8D">
        <w:rPr>
          <w:sz w:val="22"/>
          <w:szCs w:val="22"/>
        </w:rPr>
        <w:t>Cuantiferon</w:t>
      </w:r>
      <w:proofErr w:type="spellEnd"/>
      <w:r w:rsidRPr="00A54E8D">
        <w:rPr>
          <w:sz w:val="22"/>
          <w:szCs w:val="22"/>
        </w:rPr>
        <w:t xml:space="preserve"> TBC negativo y estudio de causas neoplásicas negativo. Se diagnosticó miositis </w:t>
      </w:r>
      <w:proofErr w:type="spellStart"/>
      <w:r w:rsidRPr="00A54E8D">
        <w:rPr>
          <w:sz w:val="22"/>
          <w:szCs w:val="22"/>
        </w:rPr>
        <w:t>granulomatosa</w:t>
      </w:r>
      <w:proofErr w:type="spellEnd"/>
      <w:r w:rsidRPr="00A54E8D">
        <w:rPr>
          <w:sz w:val="22"/>
          <w:szCs w:val="22"/>
        </w:rPr>
        <w:t xml:space="preserve"> </w:t>
      </w:r>
      <w:proofErr w:type="spellStart"/>
      <w:r w:rsidRPr="00A54E8D">
        <w:rPr>
          <w:sz w:val="22"/>
          <w:szCs w:val="22"/>
        </w:rPr>
        <w:t>sarcoidea</w:t>
      </w:r>
      <w:proofErr w:type="spellEnd"/>
      <w:r w:rsidRPr="00A54E8D">
        <w:rPr>
          <w:sz w:val="22"/>
          <w:szCs w:val="22"/>
        </w:rPr>
        <w:t xml:space="preserve"> símil. Se manejó con Zolendronato 4 mg e/v y dosis alta de Prednisona con normalización de calcemia y </w:t>
      </w:r>
      <w:proofErr w:type="spellStart"/>
      <w:r w:rsidRPr="00A54E8D">
        <w:rPr>
          <w:sz w:val="22"/>
          <w:szCs w:val="22"/>
        </w:rPr>
        <w:t>tetraparesia</w:t>
      </w:r>
      <w:proofErr w:type="spellEnd"/>
      <w:r w:rsidRPr="00A54E8D">
        <w:rPr>
          <w:sz w:val="22"/>
          <w:szCs w:val="22"/>
        </w:rPr>
        <w:t xml:space="preserve">. Al 3er mes, con dosis decreciente de Prednisona, persiste con normocalcemia y sin </w:t>
      </w:r>
      <w:proofErr w:type="spellStart"/>
      <w:r w:rsidRPr="00A54E8D">
        <w:rPr>
          <w:sz w:val="22"/>
          <w:szCs w:val="22"/>
        </w:rPr>
        <w:t>paresia</w:t>
      </w:r>
      <w:proofErr w:type="spellEnd"/>
      <w:r w:rsidRPr="00A54E8D">
        <w:rPr>
          <w:sz w:val="22"/>
          <w:szCs w:val="22"/>
        </w:rPr>
        <w:t>.</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 xml:space="preserve">Comentario: </w:t>
      </w:r>
      <w:r w:rsidRPr="00A54E8D">
        <w:rPr>
          <w:sz w:val="22"/>
          <w:szCs w:val="22"/>
        </w:rPr>
        <w:t xml:space="preserve">La miositis </w:t>
      </w:r>
      <w:proofErr w:type="spellStart"/>
      <w:r w:rsidRPr="00A54E8D">
        <w:rPr>
          <w:sz w:val="22"/>
          <w:szCs w:val="22"/>
        </w:rPr>
        <w:t>granulomatosa</w:t>
      </w:r>
      <w:proofErr w:type="spellEnd"/>
      <w:r w:rsidRPr="00A54E8D">
        <w:rPr>
          <w:sz w:val="22"/>
          <w:szCs w:val="22"/>
        </w:rPr>
        <w:t xml:space="preserve"> </w:t>
      </w:r>
      <w:proofErr w:type="spellStart"/>
      <w:r w:rsidRPr="00A54E8D">
        <w:rPr>
          <w:sz w:val="22"/>
          <w:szCs w:val="22"/>
        </w:rPr>
        <w:t>sarcoidea</w:t>
      </w:r>
      <w:proofErr w:type="spellEnd"/>
      <w:r w:rsidRPr="00A54E8D">
        <w:rPr>
          <w:sz w:val="22"/>
          <w:szCs w:val="22"/>
        </w:rPr>
        <w:t xml:space="preserve"> símil es una entidad rara (&lt; 10 casos publicados) y recientemente descrita como una reacción </w:t>
      </w:r>
      <w:proofErr w:type="spellStart"/>
      <w:r w:rsidRPr="00A54E8D">
        <w:rPr>
          <w:sz w:val="22"/>
          <w:szCs w:val="22"/>
        </w:rPr>
        <w:t>sarcoidea</w:t>
      </w:r>
      <w:proofErr w:type="spellEnd"/>
      <w:r w:rsidRPr="00A54E8D">
        <w:rPr>
          <w:sz w:val="22"/>
          <w:szCs w:val="22"/>
        </w:rPr>
        <w:t xml:space="preserve"> muscular en ausencia de cuadro </w:t>
      </w:r>
      <w:proofErr w:type="spellStart"/>
      <w:r w:rsidRPr="00A54E8D">
        <w:rPr>
          <w:sz w:val="22"/>
          <w:szCs w:val="22"/>
        </w:rPr>
        <w:t>multisistémico</w:t>
      </w:r>
      <w:proofErr w:type="spellEnd"/>
      <w:r w:rsidRPr="00A54E8D">
        <w:rPr>
          <w:sz w:val="22"/>
          <w:szCs w:val="22"/>
        </w:rPr>
        <w:t xml:space="preserve"> concordante con sarcoidosis. A diferencia del compromiso muscular en sarcoidosis, este se presenta con debilidad muscular sin mialgia, suele cursar con CK total normal, captación muscular difusa en PET/CT-FDG, e hipercalcemia moderada a grave independiente de PTH, con 1,25OHD elevado. Nuestro paciente inició sus síntomas luego de fuerte exposición solar, lo cual probablemente descompensó su cuadro y es compatible con la fisiopatología involucrada. Los hallazgos histopatológicos de las miositis </w:t>
      </w:r>
      <w:proofErr w:type="spellStart"/>
      <w:r w:rsidRPr="00A54E8D">
        <w:rPr>
          <w:sz w:val="22"/>
          <w:szCs w:val="22"/>
        </w:rPr>
        <w:t>granulomatosas</w:t>
      </w:r>
      <w:proofErr w:type="spellEnd"/>
      <w:r w:rsidRPr="00A54E8D">
        <w:rPr>
          <w:sz w:val="22"/>
          <w:szCs w:val="22"/>
        </w:rPr>
        <w:t xml:space="preserve"> son inespecíficos, por lo que el diagnóstico diferencial debe ser amplio. Creemos que esta nueva entidad debe ser incorporada dentro del diagnóstico diferencial de hipercalcemia PTH independiente, con especial énfasis en el uso de PET/CT-FDG para una correcta aproximación.</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 xml:space="preserve">Tabla 1: </w:t>
      </w:r>
      <w:r w:rsidRPr="00A54E8D">
        <w:rPr>
          <w:sz w:val="22"/>
          <w:szCs w:val="22"/>
        </w:rPr>
        <w:t xml:space="preserve">Resumen de exámenes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81"/>
        <w:gridCol w:w="1374"/>
        <w:gridCol w:w="653"/>
        <w:gridCol w:w="1887"/>
        <w:gridCol w:w="653"/>
        <w:gridCol w:w="653"/>
        <w:gridCol w:w="839"/>
      </w:tblGrid>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Zolendronato</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4 mg e/v</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proofErr w:type="spellStart"/>
            <w:r w:rsidRPr="00A54E8D">
              <w:rPr>
                <w:rStyle w:val="Textoennegrita"/>
                <w:sz w:val="22"/>
                <w:szCs w:val="22"/>
              </w:rPr>
              <w:t>Metil-prednisolona</w:t>
            </w:r>
            <w:proofErr w:type="spellEnd"/>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1,5 g</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Parámetro</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03/04/</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05/04/</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09/04/</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12/04/</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18/07/</w:t>
            </w:r>
          </w:p>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rStyle w:val="Textoennegrita"/>
                <w:sz w:val="22"/>
                <w:szCs w:val="22"/>
              </w:rPr>
              <w:t>VN</w:t>
            </w: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Calcio (mg/dL)</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8,5-10,5</w:t>
            </w: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Fósforo (mg/dL)</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2,6-4,5</w:t>
            </w: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Albúmina (gr/dL)</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3,5-5</w:t>
            </w: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PTH (pg/mL)</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15-65</w:t>
            </w: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CK total (U/L)</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&lt;190</w:t>
            </w: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25OHD (ng/mL)</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20-100</w:t>
            </w: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VHS</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1-19</w:t>
            </w:r>
          </w:p>
        </w:tc>
        <w:bookmarkStart w:id="0" w:name="_GoBack"/>
        <w:bookmarkEnd w:id="0"/>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Creatininemia (mg/dL)</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0,7-1,2</w:t>
            </w:r>
          </w:p>
        </w:tc>
      </w:tr>
      <w:tr w:rsidR="00BB1433" w:rsidRPr="00A54E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Calcio orina 24 horas (mg/24 hrs)</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470</w:t>
            </w: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BB1433" w:rsidP="00A54E8D">
            <w:pPr>
              <w:spacing w:after="0" w:line="240" w:lineRule="auto"/>
              <w:jc w:val="both"/>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433" w:rsidRPr="00A54E8D" w:rsidRDefault="00EE120C" w:rsidP="00A54E8D">
            <w:pPr>
              <w:pStyle w:val="NormalWeb"/>
              <w:spacing w:before="0" w:beforeAutospacing="0" w:after="0" w:afterAutospacing="0"/>
              <w:jc w:val="both"/>
              <w:rPr>
                <w:sz w:val="22"/>
                <w:szCs w:val="22"/>
              </w:rPr>
            </w:pPr>
            <w:r w:rsidRPr="00A54E8D">
              <w:rPr>
                <w:sz w:val="22"/>
                <w:szCs w:val="22"/>
              </w:rPr>
              <w:t>25-300</w:t>
            </w:r>
          </w:p>
        </w:tc>
      </w:tr>
    </w:tbl>
    <w:p w:rsidR="00EE120C" w:rsidRPr="00A54E8D" w:rsidRDefault="00EE120C" w:rsidP="00A54E8D">
      <w:pPr>
        <w:spacing w:after="0" w:line="240" w:lineRule="auto"/>
        <w:jc w:val="both"/>
        <w:rPr>
          <w:rFonts w:ascii="Times New Roman" w:eastAsia="Times New Roman" w:hAnsi="Times New Roman" w:cs="Times New Roman"/>
        </w:rPr>
      </w:pPr>
      <w:r w:rsidRPr="00A54E8D">
        <w:rPr>
          <w:rFonts w:ascii="Times New Roman" w:eastAsia="Times New Roman" w:hAnsi="Times New Roman" w:cs="Times New Roman"/>
          <w:b/>
          <w:bCs/>
        </w:rPr>
        <w:t xml:space="preserve">Financiamiento: </w:t>
      </w:r>
      <w:r w:rsidRPr="00A54E8D">
        <w:rPr>
          <w:rFonts w:ascii="Times New Roman" w:eastAsia="Times New Roman" w:hAnsi="Times New Roman" w:cs="Times New Roman"/>
        </w:rPr>
        <w:t xml:space="preserve">Sin financiamiento </w:t>
      </w:r>
    </w:p>
    <w:sectPr w:rsidR="00EE120C" w:rsidRPr="00A54E8D" w:rsidSect="00BB1433">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A458E"/>
    <w:rsid w:val="000A458E"/>
    <w:rsid w:val="008E75CA"/>
    <w:rsid w:val="00A54E8D"/>
    <w:rsid w:val="00BB1433"/>
    <w:rsid w:val="00EE120C"/>
    <w:rsid w:val="00EE44E2"/>
    <w:rsid w:val="00FD452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B1433"/>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BB14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dcterms:created xsi:type="dcterms:W3CDTF">2018-08-03T19:27:00Z</dcterms:created>
  <dcterms:modified xsi:type="dcterms:W3CDTF">2018-09-30T04:22:00Z</dcterms:modified>
</cp:coreProperties>
</file>